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128" w:rsidRPr="00EE7128" w:rsidRDefault="00EE7128" w:rsidP="00EE7128">
      <w:pPr>
        <w:rPr>
          <w:rFonts w:ascii="Calibri" w:eastAsia="Calibri" w:hAnsi="Calibri" w:cs="Arial"/>
        </w:rPr>
      </w:pPr>
      <w:r w:rsidRPr="00EE7128">
        <w:rPr>
          <w:rFonts w:ascii="Calibri" w:eastAsia="Calibri" w:hAnsi="Calibri" w:cs="Arial"/>
          <w:noProof/>
        </w:rPr>
        <w:drawing>
          <wp:anchor distT="0" distB="0" distL="114300" distR="114300" simplePos="0" relativeHeight="251659264" behindDoc="0" locked="0" layoutInCell="1" allowOverlap="1" wp14:anchorId="4E574FBA" wp14:editId="069A8211">
            <wp:simplePos x="0" y="0"/>
            <wp:positionH relativeFrom="column">
              <wp:posOffset>763905</wp:posOffset>
            </wp:positionH>
            <wp:positionV relativeFrom="paragraph">
              <wp:posOffset>-524752</wp:posOffset>
            </wp:positionV>
            <wp:extent cx="841248" cy="741100"/>
            <wp:effectExtent l="0" t="0" r="0" b="1905"/>
            <wp:wrapNone/>
            <wp:docPr id="1" name="Image 1" descr="Une image contenant texte&#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F.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1248" cy="741100"/>
                    </a:xfrm>
                    <a:prstGeom prst="rect">
                      <a:avLst/>
                    </a:prstGeom>
                  </pic:spPr>
                </pic:pic>
              </a:graphicData>
            </a:graphic>
            <wp14:sizeRelH relativeFrom="margin">
              <wp14:pctWidth>0</wp14:pctWidth>
            </wp14:sizeRelH>
            <wp14:sizeRelV relativeFrom="margin">
              <wp14:pctHeight>0</wp14:pctHeight>
            </wp14:sizeRelV>
          </wp:anchor>
        </w:drawing>
      </w:r>
      <w:r w:rsidRPr="00EE7128">
        <w:rPr>
          <w:rFonts w:ascii="Calibri" w:eastAsia="Calibri" w:hAnsi="Calibri" w:cs="Arial"/>
          <w:noProof/>
        </w:rPr>
        <w:drawing>
          <wp:anchor distT="0" distB="0" distL="114300" distR="114300" simplePos="0" relativeHeight="251666432" behindDoc="0" locked="0" layoutInCell="1" allowOverlap="1" wp14:anchorId="707C8470" wp14:editId="73F1BAB7">
            <wp:simplePos x="0" y="0"/>
            <wp:positionH relativeFrom="column">
              <wp:posOffset>3886200</wp:posOffset>
            </wp:positionH>
            <wp:positionV relativeFrom="paragraph">
              <wp:posOffset>-585470</wp:posOffset>
            </wp:positionV>
            <wp:extent cx="628650" cy="815340"/>
            <wp:effectExtent l="0" t="0" r="0" b="3810"/>
            <wp:wrapNone/>
            <wp:docPr id="10" name="Image 10" descr="C:\Users\hakkou\AppData\Local\Microsoft\Windows\Temporary Internet Files\Content.Outlook\ISU576VE\logo FM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kkou\AppData\Local\Microsoft\Windows\Temporary Internet Files\Content.Outlook\ISU576VE\logo FM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7128">
        <w:rPr>
          <w:rFonts w:ascii="Calibri" w:eastAsia="Calibri" w:hAnsi="Calibri" w:cs="Arial"/>
          <w:noProof/>
        </w:rPr>
        <w:drawing>
          <wp:anchor distT="0" distB="0" distL="114300" distR="114300" simplePos="0" relativeHeight="251660288" behindDoc="1" locked="0" layoutInCell="1" allowOverlap="1" wp14:anchorId="1B94EC67" wp14:editId="3B3DF0E1">
            <wp:simplePos x="0" y="0"/>
            <wp:positionH relativeFrom="margin">
              <wp:posOffset>2999740</wp:posOffset>
            </wp:positionH>
            <wp:positionV relativeFrom="margin">
              <wp:posOffset>-519430</wp:posOffset>
            </wp:positionV>
            <wp:extent cx="504190" cy="734060"/>
            <wp:effectExtent l="0" t="0" r="0" b="8890"/>
            <wp:wrapTight wrapText="bothSides">
              <wp:wrapPolygon edited="0">
                <wp:start x="0" y="0"/>
                <wp:lineTo x="0" y="21301"/>
                <wp:lineTo x="20403" y="21301"/>
                <wp:lineTo x="20403"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19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7128">
        <w:rPr>
          <w:rFonts w:ascii="Calibri" w:eastAsia="Calibri" w:hAnsi="Calibri" w:cs="Arial"/>
          <w:noProof/>
        </w:rPr>
        <w:drawing>
          <wp:anchor distT="0" distB="0" distL="114300" distR="114300" simplePos="0" relativeHeight="251661312" behindDoc="0" locked="0" layoutInCell="1" allowOverlap="1" wp14:anchorId="524EA9D3" wp14:editId="2ED5E56F">
            <wp:simplePos x="0" y="0"/>
            <wp:positionH relativeFrom="column">
              <wp:posOffset>1406525</wp:posOffset>
            </wp:positionH>
            <wp:positionV relativeFrom="paragraph">
              <wp:posOffset>-636270</wp:posOffset>
            </wp:positionV>
            <wp:extent cx="1594485" cy="989965"/>
            <wp:effectExtent l="0" t="0" r="0" b="0"/>
            <wp:wrapNone/>
            <wp:docPr id="6" name="Image 5">
              <a:extLst xmlns:a="http://schemas.openxmlformats.org/drawingml/2006/main">
                <a:ext uri="{FF2B5EF4-FFF2-40B4-BE49-F238E27FC236}">
                  <a16:creationId xmlns:a16="http://schemas.microsoft.com/office/drawing/2014/main" id="{D19A5A05-5F0D-47E4-868B-341745D64E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D19A5A05-5F0D-47E4-868B-341745D64EE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4485" cy="989965"/>
                    </a:xfrm>
                    <a:prstGeom prst="rect">
                      <a:avLst/>
                    </a:prstGeom>
                  </pic:spPr>
                </pic:pic>
              </a:graphicData>
            </a:graphic>
            <wp14:sizeRelH relativeFrom="margin">
              <wp14:pctWidth>0</wp14:pctWidth>
            </wp14:sizeRelH>
            <wp14:sizeRelV relativeFrom="margin">
              <wp14:pctHeight>0</wp14:pctHeight>
            </wp14:sizeRelV>
          </wp:anchor>
        </w:drawing>
      </w:r>
      <w:r w:rsidRPr="00EE7128">
        <w:rPr>
          <w:rFonts w:ascii="Calibri" w:eastAsia="Calibri" w:hAnsi="Calibri" w:cs="Arial"/>
          <w:noProof/>
        </w:rPr>
        <w:drawing>
          <wp:anchor distT="0" distB="0" distL="114300" distR="114300" simplePos="0" relativeHeight="251664384" behindDoc="0" locked="0" layoutInCell="1" allowOverlap="1" wp14:anchorId="5ECFAEBC" wp14:editId="606F5336">
            <wp:simplePos x="0" y="0"/>
            <wp:positionH relativeFrom="column">
              <wp:posOffset>4946015</wp:posOffset>
            </wp:positionH>
            <wp:positionV relativeFrom="paragraph">
              <wp:posOffset>-486410</wp:posOffset>
            </wp:positionV>
            <wp:extent cx="360734" cy="698347"/>
            <wp:effectExtent l="0" t="0" r="1270" b="698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734" cy="698347"/>
                    </a:xfrm>
                    <a:prstGeom prst="rect">
                      <a:avLst/>
                    </a:prstGeom>
                    <a:noFill/>
                  </pic:spPr>
                </pic:pic>
              </a:graphicData>
            </a:graphic>
            <wp14:sizeRelH relativeFrom="margin">
              <wp14:pctWidth>0</wp14:pctWidth>
            </wp14:sizeRelH>
            <wp14:sizeRelV relativeFrom="margin">
              <wp14:pctHeight>0</wp14:pctHeight>
            </wp14:sizeRelV>
          </wp:anchor>
        </w:drawing>
      </w:r>
      <w:r w:rsidRPr="00EE7128">
        <w:rPr>
          <w:rFonts w:ascii="Calibri" w:eastAsia="Calibri" w:hAnsi="Calibri" w:cs="Arial"/>
          <w:noProof/>
        </w:rPr>
        <w:drawing>
          <wp:anchor distT="0" distB="0" distL="114300" distR="114300" simplePos="0" relativeHeight="251665408" behindDoc="1" locked="0" layoutInCell="1" allowOverlap="1" wp14:anchorId="29D8348E" wp14:editId="666501AD">
            <wp:simplePos x="0" y="0"/>
            <wp:positionH relativeFrom="margin">
              <wp:posOffset>5475605</wp:posOffset>
            </wp:positionH>
            <wp:positionV relativeFrom="page">
              <wp:posOffset>393700</wp:posOffset>
            </wp:positionV>
            <wp:extent cx="839470" cy="723900"/>
            <wp:effectExtent l="0" t="0" r="0" b="0"/>
            <wp:wrapTight wrapText="bothSides">
              <wp:wrapPolygon edited="0">
                <wp:start x="0" y="0"/>
                <wp:lineTo x="0" y="21032"/>
                <wp:lineTo x="21077" y="21032"/>
                <wp:lineTo x="21077" y="0"/>
                <wp:lineTo x="0" y="0"/>
              </wp:wrapPolygon>
            </wp:wrapTight>
            <wp:docPr id="11" name="Image 11" descr="http://www.unesco.org/new/fileadmin/unesco/images/logo_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nesco.org/new/fileadmin/unesco/images/logo_fr.gif"/>
                    <pic:cNvPicPr>
                      <a:picLocks noChangeAspect="1" noChangeArrowheads="1"/>
                    </pic:cNvPicPr>
                  </pic:nvPicPr>
                  <pic:blipFill rotWithShape="1">
                    <a:blip r:embed="rId9">
                      <a:extLst>
                        <a:ext uri="{28A0092B-C50C-407E-A947-70E740481C1C}">
                          <a14:useLocalDpi xmlns:a14="http://schemas.microsoft.com/office/drawing/2010/main" val="0"/>
                        </a:ext>
                      </a:extLst>
                    </a:blip>
                    <a:srcRect l="1" t="8108" r="6773" b="900"/>
                    <a:stretch/>
                  </pic:blipFill>
                  <pic:spPr bwMode="auto">
                    <a:xfrm>
                      <a:off x="0" y="0"/>
                      <a:ext cx="83947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E7128">
        <w:rPr>
          <w:rFonts w:ascii="Calibri" w:eastAsia="Calibri" w:hAnsi="Calibri" w:cs="Arial"/>
          <w:noProof/>
        </w:rPr>
        <w:drawing>
          <wp:anchor distT="0" distB="0" distL="114300" distR="114300" simplePos="0" relativeHeight="251663360" behindDoc="0" locked="0" layoutInCell="1" allowOverlap="1" wp14:anchorId="4BFE3EBC" wp14:editId="73B999EB">
            <wp:simplePos x="0" y="0"/>
            <wp:positionH relativeFrom="column">
              <wp:posOffset>-763270</wp:posOffset>
            </wp:positionH>
            <wp:positionV relativeFrom="paragraph">
              <wp:posOffset>-584200</wp:posOffset>
            </wp:positionV>
            <wp:extent cx="1418590" cy="920783"/>
            <wp:effectExtent l="0" t="0" r="0" b="0"/>
            <wp:wrapNone/>
            <wp:docPr id="2" name="Image 2" descr="RÃ©sultat de recherche d'images pour &quot;logo ministÃ¨re des habous et des affaires islamiqu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logo ministÃ¨re des habous et des affaires islamiques&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8590" cy="9207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7128">
        <w:rPr>
          <w:rFonts w:ascii="Calibri" w:eastAsia="Calibri" w:hAnsi="Calibri" w:cs="Arial"/>
          <w:noProof/>
        </w:rPr>
        <w:t xml:space="preserve"> </w:t>
      </w:r>
    </w:p>
    <w:p w:rsidR="00EE7128" w:rsidRPr="00EE7128" w:rsidRDefault="00EE7128" w:rsidP="00EE7128">
      <w:pPr>
        <w:rPr>
          <w:rFonts w:ascii="Calibri" w:eastAsia="Calibri" w:hAnsi="Calibri" w:cs="Arial"/>
        </w:rPr>
      </w:pPr>
      <w:r w:rsidRPr="00EE7128">
        <w:rPr>
          <w:rFonts w:ascii="Arial" w:eastAsia="Calibri" w:hAnsi="Arial" w:cs="Arial"/>
          <w:b/>
          <w:bCs/>
          <w:noProof/>
          <w:color w:val="2E74B5"/>
          <w:sz w:val="72"/>
          <w:szCs w:val="72"/>
        </w:rPr>
        <mc:AlternateContent>
          <mc:Choice Requires="wps">
            <w:drawing>
              <wp:anchor distT="0" distB="0" distL="114300" distR="114300" simplePos="0" relativeHeight="251662336" behindDoc="0" locked="0" layoutInCell="1" allowOverlap="1" wp14:anchorId="3252D498" wp14:editId="2EB28763">
                <wp:simplePos x="0" y="0"/>
                <wp:positionH relativeFrom="column">
                  <wp:posOffset>-899795</wp:posOffset>
                </wp:positionH>
                <wp:positionV relativeFrom="paragraph">
                  <wp:posOffset>201930</wp:posOffset>
                </wp:positionV>
                <wp:extent cx="7543800" cy="45719"/>
                <wp:effectExtent l="0" t="0" r="0" b="0"/>
                <wp:wrapNone/>
                <wp:docPr id="3" name="Rectangle 3"/>
                <wp:cNvGraphicFramePr/>
                <a:graphic xmlns:a="http://schemas.openxmlformats.org/drawingml/2006/main">
                  <a:graphicData uri="http://schemas.microsoft.com/office/word/2010/wordprocessingShape">
                    <wps:wsp>
                      <wps:cNvSpPr/>
                      <wps:spPr>
                        <a:xfrm flipV="1">
                          <a:off x="0" y="0"/>
                          <a:ext cx="7543800" cy="45719"/>
                        </a:xfrm>
                        <a:prstGeom prst="rect">
                          <a:avLst/>
                        </a:prstGeom>
                        <a:solidFill>
                          <a:srgbClr val="5B9BD5">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AC88E" id="Rectangle 3" o:spid="_x0000_s1026" style="position:absolute;margin-left:-70.85pt;margin-top:15.9pt;width:594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" fillcolor="#9dc3e6" stroked="f" strokeweight="1pt"/>
            </w:pict>
          </mc:Fallback>
        </mc:AlternateContent>
      </w:r>
    </w:p>
    <w:p w:rsidR="00EE7128" w:rsidRPr="00EE7128" w:rsidRDefault="00EE7128" w:rsidP="00EE7128">
      <w:pPr>
        <w:spacing w:before="480" w:after="0"/>
        <w:ind w:left="3686" w:hanging="425"/>
        <w:jc w:val="both"/>
        <w:rPr>
          <w:rFonts w:ascii="Arial" w:eastAsia="Calibri" w:hAnsi="Arial" w:cs="Arial"/>
          <w:b/>
          <w:bCs/>
          <w:rtl/>
        </w:rPr>
      </w:pPr>
      <w:r w:rsidRPr="00EE7128">
        <w:rPr>
          <w:rFonts w:ascii="Calibri" w:eastAsia="Times New Roman" w:hAnsi="Calibri" w:cs="Times New Roman"/>
          <w:b/>
          <w:bCs/>
          <w:color w:val="1F3864"/>
          <w:kern w:val="24"/>
          <w:sz w:val="96"/>
          <w:szCs w:val="96"/>
          <w14:shadow w14:blurRad="38100" w14:dist="19050" w14:dir="2700000" w14:sx="100000" w14:sy="100000" w14:kx="0" w14:ky="0" w14:algn="tl">
            <w14:srgbClr w14:val="000000">
              <w14:alpha w14:val="60000"/>
            </w14:srgbClr>
          </w14:shadow>
        </w:rPr>
        <w:t xml:space="preserve"> </w:t>
      </w:r>
    </w:p>
    <w:p w:rsidR="00EE7128" w:rsidRPr="00EE7128" w:rsidRDefault="00EE7128" w:rsidP="00EE7128">
      <w:pPr>
        <w:tabs>
          <w:tab w:val="left" w:pos="9781"/>
        </w:tabs>
        <w:spacing w:after="200" w:line="276" w:lineRule="auto"/>
        <w:ind w:right="284"/>
        <w:jc w:val="center"/>
        <w:rPr>
          <w:rFonts w:ascii="Gill Sans MT" w:eastAsia="Calibri" w:hAnsi="Gill Sans MT" w:cs="Calibri"/>
          <w:b/>
          <w:bCs/>
          <w:color w:val="0070C0"/>
          <w:sz w:val="28"/>
          <w:szCs w:val="28"/>
        </w:rPr>
      </w:pPr>
      <w:r w:rsidRPr="00EE7128">
        <w:rPr>
          <w:rFonts w:ascii="Gill Sans MT" w:eastAsia="Calibri" w:hAnsi="Gill Sans MT" w:cs="Calibri"/>
          <w:b/>
          <w:bCs/>
          <w:color w:val="0070C0"/>
          <w:sz w:val="28"/>
          <w:szCs w:val="28"/>
        </w:rPr>
        <w:t>Communiqué de presse</w:t>
      </w:r>
    </w:p>
    <w:p w:rsidR="00EE7128" w:rsidRPr="00EE7128" w:rsidRDefault="00EE7128" w:rsidP="00EE7128">
      <w:pPr>
        <w:tabs>
          <w:tab w:val="left" w:pos="9781"/>
        </w:tabs>
        <w:spacing w:after="200" w:line="276" w:lineRule="auto"/>
        <w:ind w:right="284"/>
        <w:jc w:val="center"/>
        <w:rPr>
          <w:rFonts w:ascii="Gill Sans MT" w:eastAsia="Calibri" w:hAnsi="Gill Sans MT" w:cs="Calibri"/>
          <w:b/>
          <w:bCs/>
          <w:sz w:val="28"/>
          <w:szCs w:val="28"/>
        </w:rPr>
      </w:pPr>
      <w:r w:rsidRPr="00EE7128">
        <w:rPr>
          <w:rFonts w:ascii="Gill Sans MT" w:eastAsia="Calibri" w:hAnsi="Gill Sans MT" w:cs="Calibri"/>
          <w:b/>
          <w:bCs/>
          <w:sz w:val="28"/>
          <w:szCs w:val="28"/>
        </w:rPr>
        <w:t>Séminaire international sur l’alphabétisation</w:t>
      </w:r>
    </w:p>
    <w:p w:rsidR="00EE7128" w:rsidRPr="00EE7128" w:rsidRDefault="00EE7128" w:rsidP="00EE7128">
      <w:pPr>
        <w:shd w:val="clear" w:color="auto" w:fill="FFFFFF"/>
        <w:tabs>
          <w:tab w:val="left" w:pos="9781"/>
        </w:tabs>
        <w:spacing w:after="150" w:line="276" w:lineRule="auto"/>
        <w:ind w:right="284"/>
        <w:jc w:val="both"/>
        <w:rPr>
          <w:rFonts w:ascii="Gill Sans MT" w:eastAsia="Arial Unicode MS" w:hAnsi="Gill Sans MT" w:cs="Calibri"/>
          <w:b/>
          <w:bCs/>
          <w:sz w:val="28"/>
          <w:szCs w:val="28"/>
          <w:u w:val="single"/>
          <w:lang w:bidi="ar-DZ"/>
        </w:rPr>
      </w:pPr>
      <w:bookmarkStart w:id="0" w:name="_Hlk528921754"/>
      <w:r w:rsidRPr="00EE7128">
        <w:rPr>
          <w:rFonts w:ascii="Gill Sans MT" w:eastAsia="Arial Unicode MS" w:hAnsi="Gill Sans MT" w:cs="Calibri"/>
          <w:sz w:val="28"/>
          <w:szCs w:val="28"/>
          <w:lang w:bidi="ar-DZ"/>
        </w:rPr>
        <w:t xml:space="preserve">La Délégation Générale à l’Administration Pénitentiaire et à la Réinsertion (DGAPR) et l’Agence Nationale de Lutte Contre l’Analphabétisme (ANLCA) organisent, en collaboration avec la Fondation Mohamed VI pour la Réinsertion des Détenus et avec l’appui du Programme des Nations Unies pour le Développement (PNUD) et le bureau multi-pays de l’UNESCO à Rabat, un </w:t>
      </w:r>
      <w:r w:rsidRPr="00EE7128">
        <w:rPr>
          <w:rFonts w:ascii="Gill Sans MT" w:eastAsia="Arial Unicode MS" w:hAnsi="Gill Sans MT" w:cs="Calibri"/>
          <w:sz w:val="28"/>
          <w:szCs w:val="28"/>
          <w:u w:val="single"/>
          <w:lang w:bidi="ar-DZ"/>
        </w:rPr>
        <w:t xml:space="preserve">séminaire international sur le thème </w:t>
      </w:r>
      <w:r w:rsidRPr="00EE7128">
        <w:rPr>
          <w:rFonts w:ascii="Gill Sans MT" w:eastAsia="Arial Unicode MS" w:hAnsi="Gill Sans MT" w:cs="Calibri"/>
          <w:b/>
          <w:bCs/>
          <w:i/>
          <w:iCs/>
          <w:color w:val="0070C0"/>
          <w:sz w:val="28"/>
          <w:szCs w:val="28"/>
          <w:u w:val="single"/>
          <w:lang w:bidi="ar-DZ"/>
        </w:rPr>
        <w:t>« pour des prisons sans analphabétisme »</w:t>
      </w:r>
      <w:r w:rsidRPr="00EE7128">
        <w:rPr>
          <w:rFonts w:ascii="Gill Sans MT" w:eastAsia="Arial Unicode MS" w:hAnsi="Gill Sans MT" w:cs="Calibri"/>
          <w:color w:val="0070C0"/>
          <w:sz w:val="28"/>
          <w:szCs w:val="28"/>
          <w:u w:val="single"/>
          <w:lang w:bidi="ar-DZ"/>
        </w:rPr>
        <w:t xml:space="preserve"> </w:t>
      </w:r>
      <w:r w:rsidRPr="00EE7128">
        <w:rPr>
          <w:rFonts w:ascii="Gill Sans MT" w:eastAsia="Arial Unicode MS" w:hAnsi="Gill Sans MT" w:cs="Calibri"/>
          <w:sz w:val="28"/>
          <w:szCs w:val="28"/>
          <w:u w:val="single"/>
          <w:lang w:bidi="ar-DZ"/>
        </w:rPr>
        <w:t xml:space="preserve">et </w:t>
      </w:r>
      <w:r w:rsidRPr="00EE7128">
        <w:rPr>
          <w:rFonts w:ascii="Gill Sans MT" w:eastAsia="Arial Unicode MS" w:hAnsi="Gill Sans MT" w:cs="Calibri"/>
          <w:b/>
          <w:bCs/>
          <w:sz w:val="28"/>
          <w:szCs w:val="28"/>
          <w:u w:val="single"/>
          <w:lang w:bidi="ar-DZ"/>
        </w:rPr>
        <w:t xml:space="preserve">ce, le Mercredi 07 Novembre 2018 à l’établissement pénitentiaire local- </w:t>
      </w:r>
      <w:proofErr w:type="spellStart"/>
      <w:r w:rsidRPr="00EE7128">
        <w:rPr>
          <w:rFonts w:ascii="Gill Sans MT" w:eastAsia="Arial Unicode MS" w:hAnsi="Gill Sans MT" w:cs="Calibri"/>
          <w:b/>
          <w:bCs/>
          <w:sz w:val="28"/>
          <w:szCs w:val="28"/>
          <w:u w:val="single"/>
          <w:lang w:bidi="ar-DZ"/>
        </w:rPr>
        <w:t>ELarjat</w:t>
      </w:r>
      <w:proofErr w:type="spellEnd"/>
      <w:r w:rsidRPr="00EE7128">
        <w:rPr>
          <w:rFonts w:ascii="Gill Sans MT" w:eastAsia="Arial Unicode MS" w:hAnsi="Gill Sans MT" w:cs="Calibri"/>
          <w:b/>
          <w:bCs/>
          <w:sz w:val="28"/>
          <w:szCs w:val="28"/>
          <w:u w:val="single"/>
          <w:lang w:bidi="ar-DZ"/>
        </w:rPr>
        <w:t xml:space="preserve"> 1-Salé, Route de Meknès à partir de 9h00 du matin.</w:t>
      </w:r>
    </w:p>
    <w:p w:rsidR="00EE7128" w:rsidRPr="00EE7128" w:rsidRDefault="00EE7128" w:rsidP="00EE7128">
      <w:pPr>
        <w:shd w:val="clear" w:color="auto" w:fill="FFFFFF"/>
        <w:tabs>
          <w:tab w:val="left" w:pos="9781"/>
        </w:tabs>
        <w:spacing w:after="150" w:line="276" w:lineRule="auto"/>
        <w:ind w:right="284"/>
        <w:jc w:val="both"/>
        <w:rPr>
          <w:rFonts w:ascii="Gill Sans MT" w:eastAsia="Arial Unicode MS" w:hAnsi="Gill Sans MT" w:cs="Calibri"/>
          <w:sz w:val="28"/>
          <w:szCs w:val="28"/>
          <w:lang w:bidi="ar-DZ"/>
        </w:rPr>
      </w:pPr>
      <w:r w:rsidRPr="00EE7128">
        <w:rPr>
          <w:rFonts w:ascii="Gill Sans MT" w:eastAsia="Arial Unicode MS" w:hAnsi="Gill Sans MT" w:cs="Calibri"/>
          <w:sz w:val="28"/>
          <w:szCs w:val="28"/>
          <w:lang w:bidi="ar-DZ"/>
        </w:rPr>
        <w:t>Cette activité s’inscrit dans le cadre d’une action de mobilisation de tous les acteurs pouvant renforcer l’appui porté à l’amélioration de l’alphabétisation dans les institutions pénitentiaires.</w:t>
      </w:r>
    </w:p>
    <w:p w:rsidR="00EE7128" w:rsidRPr="00EE7128" w:rsidRDefault="00EE7128" w:rsidP="00EE7128">
      <w:pPr>
        <w:widowControl w:val="0"/>
        <w:suppressAutoHyphens/>
        <w:spacing w:after="0" w:line="276" w:lineRule="auto"/>
        <w:ind w:right="142"/>
        <w:jc w:val="both"/>
        <w:rPr>
          <w:rFonts w:ascii="Gill Sans MT" w:eastAsia="Arial Unicode MS" w:hAnsi="Gill Sans MT" w:cs="Calibri"/>
          <w:sz w:val="28"/>
          <w:szCs w:val="28"/>
          <w:lang w:bidi="ar-DZ"/>
        </w:rPr>
      </w:pPr>
      <w:r w:rsidRPr="00EE7128">
        <w:rPr>
          <w:rFonts w:ascii="Gill Sans MT" w:eastAsia="Arial Unicode MS" w:hAnsi="Gill Sans MT" w:cs="Calibri"/>
          <w:sz w:val="28"/>
          <w:szCs w:val="28"/>
          <w:lang w:bidi="ar-DZ"/>
        </w:rPr>
        <w:t>L’objectif du séminaire est de partager les différentes visions sur la thématique, et de croiser</w:t>
      </w:r>
      <w:r w:rsidRPr="00EE7128">
        <w:rPr>
          <w:rFonts w:ascii="Gill Sans MT" w:eastAsia="Times New Roman" w:hAnsi="Gill Sans MT" w:cs="Times New Roman"/>
          <w:sz w:val="28"/>
          <w:szCs w:val="28"/>
        </w:rPr>
        <w:t xml:space="preserve"> </w:t>
      </w:r>
      <w:r w:rsidRPr="00EE7128">
        <w:rPr>
          <w:rFonts w:ascii="Gill Sans MT" w:eastAsia="Arial Unicode MS" w:hAnsi="Gill Sans MT" w:cs="Calibri"/>
          <w:sz w:val="28"/>
          <w:szCs w:val="28"/>
          <w:lang w:bidi="ar-DZ"/>
        </w:rPr>
        <w:t>les regards, notamment celles de l’Agence Nationale de Lutte Contre l’Analphabétisme,</w:t>
      </w:r>
      <w:r w:rsidRPr="00EE7128">
        <w:rPr>
          <w:rFonts w:ascii="Gill Sans MT" w:eastAsia="Arial Unicode MS" w:hAnsi="Gill Sans MT" w:cs="Calibri" w:hint="cs"/>
          <w:sz w:val="28"/>
          <w:szCs w:val="28"/>
          <w:rtl/>
          <w:lang w:bidi="ar-DZ"/>
        </w:rPr>
        <w:t xml:space="preserve"> </w:t>
      </w:r>
      <w:r w:rsidRPr="00EE7128">
        <w:rPr>
          <w:rFonts w:ascii="Gill Sans MT" w:eastAsia="Arial Unicode MS" w:hAnsi="Gill Sans MT" w:cs="Calibri"/>
          <w:sz w:val="28"/>
          <w:szCs w:val="28"/>
          <w:lang w:bidi="ar-DZ"/>
        </w:rPr>
        <w:t>de la Délégation Générale à l’Administration Pénitentiaire et à la Réinsertion, du Ministère des Habous et des Affaires Islamiques, des experts nationaux, des experts internationaux et de la société civile, afin de répondre à un programme qualitatif d’alphabétisation dans le milieu carcéral qui va</w:t>
      </w:r>
      <w:r w:rsidRPr="00EE7128">
        <w:rPr>
          <w:rFonts w:ascii="Gill Sans MT" w:eastAsia="Times New Roman" w:hAnsi="Gill Sans MT" w:cs="Times New Roman"/>
          <w:sz w:val="28"/>
          <w:szCs w:val="28"/>
        </w:rPr>
        <w:t xml:space="preserve"> </w:t>
      </w:r>
      <w:r w:rsidRPr="00EE7128">
        <w:rPr>
          <w:rFonts w:ascii="Gill Sans MT" w:eastAsia="Arial Unicode MS" w:hAnsi="Gill Sans MT" w:cs="Calibri"/>
          <w:sz w:val="28"/>
          <w:szCs w:val="28"/>
          <w:lang w:bidi="ar-DZ"/>
        </w:rPr>
        <w:t>garantir  une réinsertion sociale pérenne pour les détenus.</w:t>
      </w:r>
    </w:p>
    <w:p w:rsidR="00EE7128" w:rsidRPr="00EE7128" w:rsidRDefault="00EE7128" w:rsidP="00EE7128">
      <w:pPr>
        <w:widowControl w:val="0"/>
        <w:suppressAutoHyphens/>
        <w:spacing w:after="0" w:line="240" w:lineRule="auto"/>
        <w:ind w:right="142"/>
        <w:jc w:val="both"/>
        <w:rPr>
          <w:rFonts w:ascii="Gill Sans MT" w:eastAsia="Arial Unicode MS" w:hAnsi="Gill Sans MT" w:cs="Calibri"/>
          <w:sz w:val="28"/>
          <w:szCs w:val="28"/>
          <w:lang w:bidi="ar-DZ"/>
        </w:rPr>
      </w:pPr>
    </w:p>
    <w:p w:rsidR="00EE7128" w:rsidRPr="00EE7128" w:rsidRDefault="00EE7128" w:rsidP="00EE7128">
      <w:pPr>
        <w:widowControl w:val="0"/>
        <w:suppressAutoHyphens/>
        <w:spacing w:after="0" w:line="276" w:lineRule="auto"/>
        <w:ind w:right="142"/>
        <w:jc w:val="both"/>
        <w:rPr>
          <w:rFonts w:ascii="Gill Sans MT" w:eastAsia="Arial Unicode MS" w:hAnsi="Gill Sans MT" w:cs="Calibri"/>
          <w:strike/>
          <w:sz w:val="28"/>
          <w:szCs w:val="28"/>
          <w:lang w:bidi="ar-DZ"/>
        </w:rPr>
      </w:pPr>
      <w:r w:rsidRPr="00EE7128">
        <w:rPr>
          <w:rFonts w:ascii="Gill Sans MT" w:eastAsia="Arial Unicode MS" w:hAnsi="Gill Sans MT" w:cs="Calibri"/>
          <w:sz w:val="28"/>
          <w:szCs w:val="28"/>
          <w:lang w:bidi="ar-DZ"/>
        </w:rPr>
        <w:t xml:space="preserve">Prendront part à cet évènement les Membres des organes de gouvernance de l’ANLCA, </w:t>
      </w:r>
      <w:r w:rsidR="002443D7" w:rsidRPr="002443D7">
        <w:rPr>
          <w:rFonts w:ascii="Gill Sans MT" w:eastAsia="Arial Unicode MS" w:hAnsi="Gill Sans MT" w:cs="Calibri"/>
          <w:sz w:val="28"/>
          <w:szCs w:val="28"/>
          <w:lang w:bidi="ar-DZ"/>
        </w:rPr>
        <w:t>des organismes intervenants dans l’insertion des détenus,</w:t>
      </w:r>
      <w:r w:rsidR="00211297" w:rsidRPr="00211297">
        <w:t xml:space="preserve"> </w:t>
      </w:r>
      <w:r w:rsidR="00211297" w:rsidRPr="00211297">
        <w:rPr>
          <w:rFonts w:ascii="Gill Sans MT" w:eastAsia="Arial Unicode MS" w:hAnsi="Gill Sans MT" w:cs="Calibri"/>
          <w:sz w:val="28"/>
          <w:szCs w:val="28"/>
          <w:lang w:bidi="ar-DZ"/>
        </w:rPr>
        <w:t xml:space="preserve">la société </w:t>
      </w:r>
      <w:r w:rsidR="00211297">
        <w:rPr>
          <w:rFonts w:ascii="Gill Sans MT" w:eastAsia="Arial Unicode MS" w:hAnsi="Gill Sans MT" w:cs="Calibri"/>
          <w:sz w:val="28"/>
          <w:szCs w:val="28"/>
          <w:lang w:bidi="ar-DZ"/>
        </w:rPr>
        <w:t xml:space="preserve">civile, </w:t>
      </w:r>
      <w:r w:rsidRPr="00EE7128">
        <w:rPr>
          <w:rFonts w:ascii="Gill Sans MT" w:eastAsia="Arial Unicode MS" w:hAnsi="Gill Sans MT" w:cs="Calibri"/>
          <w:sz w:val="28"/>
          <w:szCs w:val="28"/>
          <w:lang w:bidi="ar-DZ"/>
        </w:rPr>
        <w:t>les</w:t>
      </w:r>
      <w:r w:rsidR="00211297">
        <w:rPr>
          <w:rFonts w:ascii="Gill Sans MT" w:eastAsia="Arial Unicode MS" w:hAnsi="Gill Sans MT" w:cs="Calibri"/>
          <w:sz w:val="28"/>
          <w:szCs w:val="28"/>
          <w:lang w:bidi="ar-DZ"/>
        </w:rPr>
        <w:t xml:space="preserve"> </w:t>
      </w:r>
      <w:bookmarkStart w:id="1" w:name="_GoBack"/>
      <w:bookmarkEnd w:id="1"/>
      <w:r w:rsidRPr="00EE7128">
        <w:rPr>
          <w:rFonts w:ascii="Gill Sans MT" w:eastAsia="Arial Unicode MS" w:hAnsi="Gill Sans MT" w:cs="Calibri"/>
          <w:sz w:val="28"/>
          <w:szCs w:val="28"/>
          <w:lang w:bidi="ar-DZ"/>
        </w:rPr>
        <w:t>Partenaires Technique et Financiers, des experts nationaux et internationaux,</w:t>
      </w:r>
      <w:r w:rsidR="002A7C16">
        <w:rPr>
          <w:rFonts w:ascii="Gill Sans MT" w:eastAsia="Arial Unicode MS" w:hAnsi="Gill Sans MT" w:cs="Calibri" w:hint="cs"/>
          <w:sz w:val="28"/>
          <w:szCs w:val="28"/>
          <w:rtl/>
          <w:lang w:bidi="ar-DZ"/>
        </w:rPr>
        <w:t xml:space="preserve"> </w:t>
      </w:r>
      <w:r w:rsidR="00211297">
        <w:rPr>
          <w:rFonts w:ascii="Gill Sans MT" w:eastAsia="Arial Unicode MS" w:hAnsi="Gill Sans MT" w:cs="Calibri"/>
          <w:sz w:val="28"/>
          <w:szCs w:val="28"/>
          <w:lang w:bidi="ar-DZ"/>
        </w:rPr>
        <w:t xml:space="preserve"> ainsi que</w:t>
      </w:r>
      <w:r w:rsidRPr="00EE7128">
        <w:rPr>
          <w:rFonts w:ascii="Gill Sans MT" w:eastAsia="Arial Unicode MS" w:hAnsi="Gill Sans MT" w:cs="Calibri"/>
          <w:sz w:val="28"/>
          <w:szCs w:val="28"/>
          <w:lang w:bidi="ar-DZ"/>
        </w:rPr>
        <w:t xml:space="preserve"> des formateurs et bénéficiaires des programmes d’alphabétisation (détenus).</w:t>
      </w:r>
    </w:p>
    <w:p w:rsidR="00EE7128" w:rsidRPr="00EE7128" w:rsidRDefault="00EE7128" w:rsidP="00EE7128">
      <w:pPr>
        <w:widowControl w:val="0"/>
        <w:suppressAutoHyphens/>
        <w:spacing w:after="0" w:line="276" w:lineRule="auto"/>
        <w:ind w:right="142"/>
        <w:jc w:val="both"/>
        <w:rPr>
          <w:rFonts w:ascii="Gill Sans MT" w:eastAsia="Arial Unicode MS" w:hAnsi="Gill Sans MT" w:cs="Calibri"/>
          <w:sz w:val="24"/>
          <w:szCs w:val="24"/>
          <w:lang w:bidi="ar-DZ"/>
        </w:rPr>
      </w:pPr>
    </w:p>
    <w:bookmarkEnd w:id="0"/>
    <w:p w:rsidR="006C02ED" w:rsidRDefault="006C02ED"/>
    <w:sectPr w:rsidR="006C02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128"/>
    <w:rsid w:val="00211297"/>
    <w:rsid w:val="002443D7"/>
    <w:rsid w:val="002A7C16"/>
    <w:rsid w:val="00673EFA"/>
    <w:rsid w:val="006C02ED"/>
    <w:rsid w:val="00EE712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AD2DB"/>
  <w15:chartTrackingRefBased/>
  <w15:docId w15:val="{312480E9-D5F2-4FC0-A725-2E9688A7C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264</Words>
  <Characters>1458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ANLCA11</dc:creator>
  <cp:keywords/>
  <dc:description/>
  <cp:lastModifiedBy>ANLCA11</cp:lastModifiedBy>
  <cp:revision>3</cp:revision>
  <cp:lastPrinted>2018-11-02T13:10:00Z</cp:lastPrinted>
  <dcterms:created xsi:type="dcterms:W3CDTF">2018-11-02T13:01:00Z</dcterms:created>
  <dcterms:modified xsi:type="dcterms:W3CDTF">2018-11-02T15:19:00Z</dcterms:modified>
</cp:coreProperties>
</file>